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lang w:val="fr-FR"/>
        </w:rPr>
      </w:pPr>
      <w:r>
        <w:rPr>
          <w:lang w:val="fr-FR"/>
        </w:rPr>
        <w:t>Lexique</w:t>
      </w:r>
    </w:p>
    <w:p>
      <w:pPr>
        <w:pStyle w:val="Normal"/>
        <w:jc w:val="both"/>
        <w:rPr>
          <w:lang w:val="fr-FR"/>
        </w:rPr>
      </w:pPr>
      <w:r>
        <w:rPr>
          <w:b/>
          <w:lang w:val="fr-FR"/>
        </w:rPr>
        <w:t xml:space="preserve">Le lexique </w:t>
      </w:r>
      <w:r>
        <w:rPr>
          <w:lang w:val="fr-FR"/>
        </w:rPr>
        <w:t xml:space="preserve">renvoie à la connaissance, à la compréhension et à l’emploi des mots dans des situations variées de lecture, d’écriture et d’oral. Il mobilise à la fois l’étendue du vocabulaire connu, la précision sémantique, la compréhension en contexte, la capacité à inférer le sens d’un mot inconnu, à réemployer les mots de façon juste et à percevoir les variations de sens selon les disciplines et les usages. Le deficit en termes de connaissances et compétences lexicale pénalisera l’élève dans bon nombre de situations liées à la compréhension de l’oral et de l’écrit : compréhension de consignes, lecture de textes à portée scientifique ou littéraires et nombre de situations de production orale et écrite. </w:t>
      </w:r>
    </w:p>
    <w:p>
      <w:pPr>
        <w:pStyle w:val="ListParagraph"/>
        <w:numPr>
          <w:ilvl w:val="0"/>
          <w:numId w:val="9"/>
        </w:numPr>
        <w:spacing w:lineRule="auto" w:line="240"/>
        <w:rPr>
          <w:lang w:val="fr-FR"/>
        </w:rPr>
      </w:pPr>
      <w:r>
        <w:rPr>
          <w:lang w:val="fr-FR"/>
        </w:rPr>
        <w:t>Les obstacles et pistes de remédiation</w:t>
      </w:r>
    </w:p>
    <w:p>
      <w:pPr>
        <w:pStyle w:val="ListParagraph"/>
        <w:numPr>
          <w:ilvl w:val="0"/>
          <w:numId w:val="9"/>
        </w:numPr>
        <w:spacing w:lineRule="auto" w:line="240"/>
        <w:rPr>
          <w:lang w:val="fr-FR"/>
        </w:rPr>
      </w:pPr>
      <w:r>
        <w:rPr>
          <w:lang w:val="fr-FR"/>
        </w:rPr>
        <w:t>Pratiques régulières</w:t>
      </w:r>
    </w:p>
    <w:p>
      <w:pPr>
        <w:pStyle w:val="ListParagraph"/>
        <w:numPr>
          <w:ilvl w:val="0"/>
          <w:numId w:val="9"/>
        </w:numPr>
        <w:spacing w:lineRule="auto" w:line="240"/>
        <w:rPr>
          <w:lang w:val="fr-FR"/>
        </w:rPr>
      </w:pPr>
      <w:r>
        <w:rPr>
          <w:lang w:val="fr-FR"/>
        </w:rPr>
        <w:t>Outil : grille d’évaluation formative</w:t>
      </w:r>
    </w:p>
    <w:p>
      <w:pPr>
        <w:pStyle w:val="ListParagraph"/>
        <w:spacing w:lineRule="auto" w:line="240"/>
        <w:rPr>
          <w:lang w:val="fr-FR"/>
        </w:rPr>
      </w:pPr>
      <w:r>
        <w:rPr>
          <w:lang w:val="fr-FR"/>
        </w:rPr>
      </w:r>
    </w:p>
    <w:p>
      <w:pPr>
        <w:pStyle w:val="Heading2"/>
        <w:numPr>
          <w:ilvl w:val="0"/>
          <w:numId w:val="8"/>
        </w:numPr>
        <w:rPr>
          <w:lang w:val="fr-FR"/>
        </w:rPr>
      </w:pPr>
      <w:r>
        <w:rPr>
          <w:lang w:val="fr-FR"/>
        </w:rPr>
        <w:t>Les obstacles et pistes de remédiation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00"/>
        <w:gridCol w:w="5099"/>
      </w:tblGrid>
      <w:tr>
        <w:trPr/>
        <w:tc>
          <w:tcPr>
            <w:tcW w:w="5100" w:type="dxa"/>
            <w:tcBorders/>
            <w:shd w:color="auto" w:fill="C6D9F1" w:themeFill="tex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Les obstacles / observables</w:t>
            </w:r>
          </w:p>
        </w:tc>
        <w:tc>
          <w:tcPr>
            <w:tcW w:w="5099" w:type="dxa"/>
            <w:tcBorders/>
            <w:shd w:color="auto" w:fill="C6D9F1" w:themeFill="text2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Les pistes de travail / activités de remédiation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Lexique pauvre ou peu disponible : l’élève emploie peu de mots, recourt à des termes très généraux ou imprécis.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Multiplier les situations de rencontre et de réemploi des mots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construire des corpus lexicaux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ritualiser des activités brèves de rappel, classement, association, reformulation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faire passer les mots du vocabulaire passif au vocabulaire actif.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Vocabulaire imprécis : usage fréquent de mots-valises (</w:t>
            </w:r>
            <w:r>
              <w:rPr>
                <w:rFonts w:eastAsia="ＭＳ 明朝" w:cs=""/>
                <w:i/>
                <w:iCs/>
                <w:kern w:val="0"/>
                <w:sz w:val="19"/>
                <w:szCs w:val="22"/>
                <w:lang w:val="fr-FR" w:eastAsia="en-US" w:bidi="ar-SA"/>
              </w:rPr>
              <w:t>truc</w:t>
            </w: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 xml:space="preserve"> , </w:t>
            </w:r>
            <w:r>
              <w:rPr>
                <w:rFonts w:eastAsia="ＭＳ 明朝" w:cs=""/>
                <w:i/>
                <w:iCs/>
                <w:kern w:val="0"/>
                <w:sz w:val="19"/>
                <w:szCs w:val="22"/>
                <w:lang w:val="fr-FR" w:eastAsia="en-US" w:bidi="ar-SA"/>
              </w:rPr>
              <w:t>ça</w:t>
            </w: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 xml:space="preserve">, </w:t>
            </w:r>
            <w:r>
              <w:rPr>
                <w:rFonts w:eastAsia="ＭＳ 明朝" w:cs=""/>
                <w:i/>
                <w:iCs/>
                <w:kern w:val="0"/>
                <w:sz w:val="19"/>
                <w:szCs w:val="22"/>
                <w:lang w:val="fr-FR" w:eastAsia="en-US" w:bidi="ar-SA"/>
              </w:rPr>
              <w:t>bien</w:t>
            </w: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 xml:space="preserve">, </w:t>
            </w:r>
            <w:r>
              <w:rPr>
                <w:rFonts w:eastAsia="ＭＳ 明朝" w:cs=""/>
                <w:i/>
                <w:iCs/>
                <w:kern w:val="0"/>
                <w:sz w:val="19"/>
                <w:szCs w:val="22"/>
                <w:lang w:val="fr-FR" w:eastAsia="en-US" w:bidi="ar-SA"/>
              </w:rPr>
              <w:t>faire</w:t>
            </w: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), approximations ou répétitions.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Travailler la précision lexicale à l’oral et à l’écrit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proposer des reformulations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faire chercher des synonymes partiels ou plus exacts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entraîner à remplacer un mot vague par un mot plus précis.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Compréhension fragile du lexique en contexte : l’élève comprend mal le sens d’un mot selon la phrase ou le texte.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Enseigner explicitement la lecture du mot en contexte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apprendre à s’appuyer sur les indices syntaxiques, sémantiques et textuels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comparer le mot isolé et le mot en emploi ; faire justifier l’interprétation par le contexte.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Difficulté à inférer le sens d’un mot inconnu : arrêt sur le mot ou hypothèse erronée.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Apprendre à faire des hypothèses à partir du contexte, de la morphologie, de la famille de mots, des préfixes et suffixes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entraîner à vérifier une hypothèse de sens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comparer plusieurs sens possibles.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Lexique disciplinaire et spcifique mal stabilisé : les mots-clés d’une discipline sont connus de manière floue, confondus ou mal réemployés.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Harmoniser les mots-clés à l’échelle de l’équipe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expliciter les termes disciplinaires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construire des affichages ou glossaires, cartes heuristiques et livrets de vocabulaires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réemployer ces mots dans des phrases, à l’oral comme à l’écrit.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Difficulté à percevoir les variations de sens d’un mot : confusion entre sens courant et sens disciplinaire, entre sens proches, figurés ou spécialisés.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Faire comparer les emplois d’un même mot selon les contextes et les disciplines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travailler la polysémie ; classer des exemples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expliciter les écarts de sens d’un mot selon les usages scolaires.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Faible conscience morphologique : l’élève ne repère pas les familles de mots, préfixes, suffixes, dérivations.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Travailler régulièrement les familles de mots, les radicaux, les affixes (étymologie)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construire des réseaux morphologiques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montrer comment la morphologie peut aider à comprendre et mémoriser.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Difficulté à mémoriser durablement les mots : oubli rapide des mots rencontrés ou appris.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Revenir souvent sur les mots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programmer des réactivations espacées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proposer des activités de rappel, de tri, de réemploi, de quiz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associer les mots à des exemples, images, phrases, catégories.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Réemploi insuffisant : les mots vus en lecture ou en leçon ne réapparaissent ni à l’oral ni à l’écrit.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Organiser des tâches de réemploi obligatoires ; demander l’utilisation de mots-cibles dans une phrase, une réponse, un résumé, une prise de parole 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valoriser le réemploi précis dans les productions.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Difficulté à reformuler avec précision : l’élève comprend globalement mais ne sait pas redire avec le mot juste.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Travailler la reformulation lexicale ; faire passer d’une formulation vague à une formulation plus précise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proposer des banques de mots ; accompagner la reformulation orale avant l’écrit.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Usage peu nuancé des synonymes et antonymes : assimilation abusive de mots proches, méconnaissance des nuances.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Travailler les réseaux sémantiques ; comparer des synonymes non stricts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faire expliciter les nuances ; construire des champs lexicaux et des échelles d’intensité.</w:t>
            </w:r>
          </w:p>
        </w:tc>
      </w:tr>
      <w:tr>
        <w:trPr/>
        <w:tc>
          <w:tcPr>
            <w:tcW w:w="5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Manque d’autonomie dans l’usage des outils : dictionnaire, glossaire, affichage, contexte peu utilisés.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Enseigner explicitement l’usage des outils ; montrer quand et comment chercher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faire verbaliser la démarche de recherche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articuler consultation d’outils et hypothèse de sens.</w:t>
            </w:r>
          </w:p>
        </w:tc>
      </w:tr>
    </w:tbl>
    <w:p>
      <w:pPr>
        <w:pStyle w:val="Heading2"/>
        <w:rPr>
          <w:lang w:val="fr-FR"/>
        </w:rPr>
      </w:pPr>
      <w:r>
        <w:rPr>
          <w:lang w:val="fr-FR"/>
        </w:rPr>
      </w:r>
    </w:p>
    <w:p>
      <w:pPr>
        <w:pStyle w:val="Normal"/>
        <w:rPr>
          <w:rFonts w:ascii="Calibri" w:hAnsi="Calibri" w:eastAsia="ＭＳ ゴシック" w:cs="" w:asciiTheme="majorHAnsi" w:cstheme="majorBidi" w:eastAsiaTheme="majorEastAsia" w:hAnsiTheme="majorHAnsi"/>
          <w:b/>
          <w:bCs/>
          <w:color w:themeColor="accent1" w:val="4F81BD"/>
          <w:sz w:val="26"/>
          <w:szCs w:val="26"/>
          <w:lang w:val="fr-FR"/>
        </w:rPr>
      </w:pPr>
      <w:r>
        <w:rPr>
          <w:rFonts w:eastAsia="ＭＳ ゴシック" w:cs="" w:cstheme="majorBidi" w:eastAsiaTheme="majorEastAsia"/>
          <w:b/>
          <w:bCs/>
          <w:color w:themeColor="accent1" w:val="4F81BD"/>
          <w:sz w:val="26"/>
          <w:szCs w:val="26"/>
          <w:lang w:val="fr-FR"/>
        </w:rPr>
      </w:r>
      <w:r>
        <w:br w:type="page"/>
      </w:r>
    </w:p>
    <w:p>
      <w:pPr>
        <w:pStyle w:val="Heading2"/>
        <w:numPr>
          <w:ilvl w:val="0"/>
          <w:numId w:val="10"/>
        </w:numPr>
        <w:spacing w:before="0" w:after="0"/>
        <w:rPr>
          <w:lang w:val="fr-FR"/>
        </w:rPr>
      </w:pPr>
      <w:r>
        <w:rPr>
          <w:lang w:val="fr-FR"/>
        </w:rPr>
        <w:t>Pratiques régulières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00"/>
        <w:gridCol w:w="5099"/>
      </w:tblGrid>
      <w:tr>
        <w:trPr/>
        <w:tc>
          <w:tcPr>
            <w:tcW w:w="510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Fréquence</w:t>
            </w:r>
          </w:p>
        </w:tc>
        <w:tc>
          <w:tcPr>
            <w:tcW w:w="5099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Repères de pratique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Chaque séance</w:t>
            </w:r>
          </w:p>
        </w:tc>
        <w:tc>
          <w:tcPr>
            <w:tcW w:w="5099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explicitation de quelques mots-clés ; reformulation d’un mot ou d’une expression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réemploi oral ou écrit d’un mot rencontré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vérification rapide de la compréhension d’un terme important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Chaque semaine</w:t>
            </w:r>
          </w:p>
        </w:tc>
        <w:tc>
          <w:tcPr>
            <w:tcW w:w="5099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activité ciblée sur le lexique : classement, famille de mots, synonymes, antonymes, polysémie, mot en contexte, lexique disciplinaire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courte production avec réemploi imposé</w:t>
            </w:r>
          </w:p>
        </w:tc>
      </w:tr>
      <w:tr>
        <w:trPr/>
        <w:tc>
          <w:tcPr>
            <w:tcW w:w="5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Chaque période</w:t>
            </w:r>
          </w:p>
        </w:tc>
        <w:tc>
          <w:tcPr>
            <w:tcW w:w="5099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reprise et mémorisation d’un réseau lexical ; bilan sur quelques mots-clés stabilisés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observation ciblée d’un ou deux critères ;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9"/>
                <w:szCs w:val="22"/>
                <w:lang w:val="fr-FR" w:eastAsia="en-US" w:bidi="ar-SA"/>
              </w:rPr>
              <w:t>mutualisation de pratiques ou de supports</w:t>
            </w:r>
          </w:p>
        </w:tc>
      </w:tr>
    </w:tbl>
    <w:p>
      <w:pPr>
        <w:pStyle w:val="Heading2"/>
        <w:rPr>
          <w:lang w:val="fr-FR"/>
        </w:rPr>
      </w:pPr>
      <w:r>
        <w:rPr>
          <w:lang w:val="fr-FR"/>
        </w:rPr>
      </w:r>
    </w:p>
    <w:p>
      <w:pPr>
        <w:pStyle w:val="Heading2"/>
        <w:numPr>
          <w:ilvl w:val="0"/>
          <w:numId w:val="10"/>
        </w:numPr>
        <w:rPr>
          <w:lang w:val="fr-FR"/>
        </w:rPr>
      </w:pPr>
      <w:r>
        <w:rPr>
          <w:lang w:val="fr-FR"/>
        </w:rPr>
        <w:t>Grille évaluative et formative — Lexique</w:t>
      </w:r>
    </w:p>
    <w:p>
      <w:pPr>
        <w:pStyle w:val="Normal"/>
        <w:rPr>
          <w:lang w:val="fr-FR"/>
        </w:rPr>
      </w:pPr>
      <w:r>
        <w:rPr>
          <w:lang w:val="fr-FR"/>
        </w:rPr>
      </w:r>
    </w:p>
    <w:tbl>
      <w:tblPr>
        <w:tblStyle w:val="Grilledutableau"/>
        <w:tblW w:w="10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40"/>
        <w:gridCol w:w="2040"/>
        <w:gridCol w:w="2040"/>
        <w:gridCol w:w="2040"/>
        <w:gridCol w:w="2040"/>
      </w:tblGrid>
      <w:tr>
        <w:trPr/>
        <w:tc>
          <w:tcPr>
            <w:tcW w:w="204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Observable</w:t>
            </w:r>
          </w:p>
        </w:tc>
        <w:tc>
          <w:tcPr>
            <w:tcW w:w="204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Palier 1</w:t>
            </w:r>
          </w:p>
        </w:tc>
        <w:tc>
          <w:tcPr>
            <w:tcW w:w="204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Palier 2</w:t>
            </w:r>
          </w:p>
        </w:tc>
        <w:tc>
          <w:tcPr>
            <w:tcW w:w="204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Palier 3</w:t>
            </w:r>
          </w:p>
        </w:tc>
        <w:tc>
          <w:tcPr>
            <w:tcW w:w="2040" w:type="dxa"/>
            <w:tcBorders/>
            <w:shd w:color="auto" w:fill="C6D9F1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Palier 4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Comprend le lexique en contexte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Contresens fréquents ; le vocabulaire bloque fortement la compréhension.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Compréhension partielle ; plusieurs mots restent mal interprétés.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Compréhension globalement correcte du lexique en contexte.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Lexique compris et interprété finement en contexte.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Infère le sens d’un mot inconnu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N’essaie pas d’inférer ou produit un contresens.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Formule une hypothèse fragile ou peu justifiée.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Infère correctement le sens dans des cas simples ou fréquents.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Infère avec pertinence le sens d’un mot et justifie son hypothèse par le contexte.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Mobilise un vocabulaire précis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Vocabulaire inadapté, imprécis ou très répétitif.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Vocabulaire pauvre ; nombreux mots-valises ; précision encore faible.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Vocabulaire correct, globalement adapté, mais encore peu varié.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Vocabulaire précis, varié et pertinent ; réemploi juste des mots.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Réemploie les mots appris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Ne réemploie pas les mots travaillés ou les emploie à contre-sens.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Réemploi ponctuel mais fragile ou imprécis.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Réemploi globalement correct dans des situations proches de l’apprentissage.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Réemploi autonome, précis et pertinent dans des situations variées.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Comprend et utilise le lexique disciplinaire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Lexique disciplinaire absent, très mal compris ou erroné.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Quelques mots-clés sont connus, mais mal employés ou confondus.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Les mots-clés essentiels sont globalement compris et utilisés correctement.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Le lexique disciplinaire est maîtrisé, précis et réemployé à bon escient.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Perçoit les variations de sens d’un mot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Ne distingue pas les différents sens d’un mot.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Commence à percevoir certaines différences mais les confond souvent.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Distingue globalement les principaux sens selon le contexte.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Identifie finement les variations de sens selon le contexte, l’usage ou la discipline.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S’appuie sur la morphologie pour comprendre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N’utilise pas la famille de mots ni les affixes pour aider à comprendre.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Repère quelques éléments morphologiques sans toujours en tirer parti.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S’appuie sur la morphologie dans plusieurs situations pour comprendre ou mémoriser.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Utilise efficacement familles de mots, préfixes et suffixes pour comprendre, mémoriser et réemployer.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Mémorise durablement les mots travaillés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Oublis très rapides ; les mots ne sont pas stabilisés.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Mémorisation fragile, avec rétention partielle.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Mémorisation globalement satisfaisante des mots travaillés.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Mémorisation stable et disponibilité durable du lexique étudié.</w:t>
            </w:r>
          </w:p>
        </w:tc>
      </w:tr>
      <w:tr>
        <w:trPr/>
        <w:tc>
          <w:tcPr>
            <w:tcW w:w="2040" w:type="dxa"/>
            <w:tcBorders/>
            <w:shd w:color="auto" w:fill="DBE5F1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Reformule avec précision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Reformulation floue, vague ou hors sujet.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Reformulation compréhensible mais imprécise.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Reformulation globalement correcte avec quelques termes adaptés.</w:t>
            </w:r>
          </w:p>
        </w:tc>
        <w:tc>
          <w:tcPr>
            <w:tcW w:w="20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ＭＳ 明朝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ＭＳ 明朝" w:cs=""/>
                <w:kern w:val="0"/>
                <w:sz w:val="17"/>
                <w:szCs w:val="22"/>
                <w:lang w:val="fr-FR" w:eastAsia="en-US" w:bidi="ar-SA"/>
              </w:rPr>
              <w:t>Reformulation précise, nuancée et lexicalement juste.</w:t>
            </w:r>
          </w:p>
        </w:tc>
      </w:tr>
    </w:tbl>
    <w:p>
      <w:pPr>
        <w:pStyle w:val="ListBullet"/>
        <w:numPr>
          <w:ilvl w:val="0"/>
          <w:numId w:val="0"/>
        </w:numPr>
        <w:spacing w:before="0" w:after="200"/>
        <w:ind w:hanging="0" w:left="360"/>
        <w:contextualSpacing/>
        <w:rPr>
          <w:lang w:val="fr-FR"/>
        </w:rPr>
      </w:pPr>
      <w:r>
        <w:rPr>
          <w:lang w:val="fr-F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020" w:right="1020" w:gutter="0" w:header="720" w:top="1020" w:footer="72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swiss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None/>
              <wp:docPr id="1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-234785019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0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-234785019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0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945" cy="162560"/>
              <wp:effectExtent l="0" t="0" r="0" b="0"/>
              <wp:wrapNone/>
              <wp:docPr id="2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799888981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35pt;height:12.8pt;mso-wrap-distance-left:0pt;mso-wrap-distance-right:0pt;mso-wrap-distance-top:0pt;mso-wrap-distance-bottom:0pt;margin-top:0.05pt;mso-position-vertical-relative:text;margin-left:504.65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799888981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7945" cy="162560"/>
              <wp:effectExtent l="0" t="0" r="0" b="0"/>
              <wp:wrapNone/>
              <wp:docPr id="3" name="Cadr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799888981"/>
                          </w:sdtPr>
                          <w:sdtContent>
                            <w:p>
                              <w:pPr>
                                <w:pStyle w:val="Footer"/>
                                <w:pBdr/>
                                <w:rPr>
                                  <w:rStyle w:val="PageNumber"/>
                                </w:rPr>
                              </w:pPr>
                              <w:r>
                                <w:rPr>
                                  <w:rStyle w:val="PageNumber"/>
                                </w:rPr>
                                <w:fldChar w:fldCharType="begin"/>
                              </w:r>
                              <w:r>
                                <w:rPr>
                                  <w:rStyle w:val="PageNumber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separate"/>
                              </w:r>
                              <w:r>
                                <w:rPr>
                                  <w:rStyle w:val="PageNumber"/>
                                </w:rPr>
                                <w:t>4</w:t>
                              </w:r>
                              <w:r>
                                <w:rPr>
                                  <w:rStyle w:val="PageNumbe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35pt;height:12.8pt;mso-wrap-distance-left:0pt;mso-wrap-distance-right:0pt;mso-wrap-distance-top:0pt;mso-wrap-distance-bottom:0pt;margin-top:0.05pt;mso-position-vertical-relative:text;margin-left:504.65pt;mso-position-horizontal:right;mso-position-horizontal-relative:margin">
              <v:fill opacity="0f"/>
              <v:textbox inset="0in,0in,0in,0in"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799888981"/>
                    </w:sdtPr>
                    <w:sdtContent>
                      <w:p>
                        <w:pPr>
                          <w:pStyle w:val="Footer"/>
                          <w:pBdr/>
                          <w:rPr>
                            <w:rStyle w:val="PageNumber"/>
                          </w:rPr>
                        </w:pPr>
                        <w:r>
                          <w:rPr>
                            <w:rStyle w:val="PageNumber"/>
                          </w:rPr>
                          <w:fldChar w:fldCharType="begin"/>
                        </w:r>
                        <w:r>
                          <w:rPr>
                            <w:rStyle w:val="PageNumber"/>
                          </w:rPr>
                          <w:instrText xml:space="preserve"> PAGE </w:instrText>
                        </w:r>
                        <w:r>
                          <w:rPr>
                            <w:rStyle w:val="PageNumber"/>
                          </w:rPr>
                          <w:fldChar w:fldCharType="separate"/>
                        </w:r>
                        <w:r>
                          <w:rPr>
                            <w:rStyle w:val="PageNumber"/>
                          </w:rPr>
                          <w:t>4</w:t>
                        </w:r>
                        <w:r>
                          <w:rPr>
                            <w:rStyle w:val="PageNumbe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Langage écrit, langage oral / lexique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Langage écrit, langage oral / lexique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1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618bf"/>
    <w:rPr/>
  </w:style>
  <w:style w:type="character" w:styleId="PieddepageCar" w:customStyle="1">
    <w:name w:val="Pied de page Car"/>
    <w:basedOn w:val="DefaultParagraphFont"/>
    <w:uiPriority w:val="99"/>
    <w:qFormat/>
    <w:rsid w:val="00e618bf"/>
    <w:rPr/>
  </w:style>
  <w:style w:type="character" w:styleId="Titre1Car" w:customStyle="1">
    <w:name w:val="Titre 1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itre2Car" w:customStyle="1">
    <w:name w:val="Titre 2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itre3Car" w:customStyle="1">
    <w:name w:val="Titre 3 C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reCar" w:customStyle="1">
    <w:name w:val="Titre C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ous-titreCar" w:customStyle="1">
    <w:name w:val="Sous-titre C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sdetexteCar" w:customStyle="1">
    <w:name w:val="Corps de texte Car"/>
    <w:basedOn w:val="DefaultParagraphFont"/>
    <w:uiPriority w:val="99"/>
    <w:qFormat/>
    <w:rsid w:val="00aa1d8d"/>
    <w:rPr/>
  </w:style>
  <w:style w:type="character" w:styleId="Corpsdetexte2Car" w:customStyle="1">
    <w:name w:val="Corps de texte 2 Car"/>
    <w:basedOn w:val="DefaultParagraphFont"/>
    <w:link w:val="BodyText2"/>
    <w:uiPriority w:val="99"/>
    <w:qFormat/>
    <w:rsid w:val="00aa1d8d"/>
    <w:rPr/>
  </w:style>
  <w:style w:type="character" w:styleId="Corpsdetexte3Car" w:customStyle="1">
    <w:name w:val="Corps de texte 3 C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edemacroCar" w:customStyle="1">
    <w:name w:val="Texte de macro C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itre4Car" w:customStyle="1">
    <w:name w:val="Titre 4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itre5Car" w:customStyle="1">
    <w:name w:val="Titre 5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Titre6Car" w:customStyle="1">
    <w:name w:val="Titre 6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itre7Car" w:customStyle="1">
    <w:name w:val="Titre 7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itre8Car" w:customStyle="1">
    <w:name w:val="Titre 8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itre9Car" w:customStyle="1">
    <w:name w:val="Titre 9 C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63060e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CorpsdetexteC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ous-titreC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sdetexte2C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sdetexte3C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TextedemacroC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tionC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itre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LibreOffice/25.2.3.2$MacOSX_AARCH64 LibreOffice_project/bbb074479178df812d175f709636b368952c2ce3</Application>
  <AppVersion>15.0000</AppVersion>
  <Pages>4</Pages>
  <Words>1249</Words>
  <Characters>6965</Characters>
  <CharactersWithSpaces>8040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fr-FR</dc:language>
  <cp:lastModifiedBy/>
  <cp:lastPrinted>2026-05-18T08:56:00Z</cp:lastPrinted>
  <dcterms:modified xsi:type="dcterms:W3CDTF">2026-06-29T11:32:03Z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